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39" w:rsidRDefault="00835E39">
      <w:r>
        <w:t xml:space="preserve">                                                                    </w:t>
      </w:r>
      <w:r w:rsidRPr="00BD0D2D">
        <w:rPr>
          <w:rFonts w:ascii="Lato" w:hAnsi="Lato" w:cs="Lato"/>
          <w:noProof/>
          <w:sz w:val="24"/>
          <w:lang w:eastAsia="en-GB"/>
        </w:rPr>
        <w:drawing>
          <wp:inline distT="0" distB="0" distL="0" distR="0" wp14:anchorId="21FCF096" wp14:editId="7FA6727F">
            <wp:extent cx="1463040" cy="990600"/>
            <wp:effectExtent l="0" t="0" r="3810" b="0"/>
            <wp:docPr id="1" name="Picture 1" descr="ESO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 Logo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83" cy="99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5E39" w:rsidTr="00835E39">
        <w:tc>
          <w:tcPr>
            <w:tcW w:w="9242" w:type="dxa"/>
            <w:gridSpan w:val="2"/>
          </w:tcPr>
          <w:p w:rsidR="00835E39" w:rsidRPr="00835E39" w:rsidRDefault="00835E39" w:rsidP="00835E39">
            <w:pPr>
              <w:jc w:val="center"/>
              <w:rPr>
                <w:b/>
                <w:sz w:val="28"/>
                <w:szCs w:val="28"/>
              </w:rPr>
            </w:pPr>
            <w:r w:rsidRPr="00835E39">
              <w:rPr>
                <w:b/>
                <w:sz w:val="28"/>
                <w:szCs w:val="28"/>
              </w:rPr>
              <w:t xml:space="preserve">Job Description for </w:t>
            </w:r>
            <w:r w:rsidR="00E9170D">
              <w:rPr>
                <w:b/>
                <w:sz w:val="28"/>
                <w:szCs w:val="28"/>
              </w:rPr>
              <w:t xml:space="preserve">Standby </w:t>
            </w:r>
            <w:r w:rsidRPr="00835E39">
              <w:rPr>
                <w:b/>
                <w:sz w:val="28"/>
                <w:szCs w:val="28"/>
              </w:rPr>
              <w:t>Clinic Tutor</w:t>
            </w:r>
          </w:p>
        </w:tc>
      </w:tr>
      <w:tr w:rsidR="00835E39" w:rsidTr="00835E39">
        <w:tc>
          <w:tcPr>
            <w:tcW w:w="4621" w:type="dxa"/>
          </w:tcPr>
          <w:p w:rsidR="00835E39" w:rsidRPr="00835E39" w:rsidRDefault="00835E39">
            <w:pPr>
              <w:rPr>
                <w:b/>
                <w:sz w:val="28"/>
                <w:szCs w:val="28"/>
              </w:rPr>
            </w:pPr>
            <w:r w:rsidRPr="00835E39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4621" w:type="dxa"/>
          </w:tcPr>
          <w:p w:rsidR="00835E39" w:rsidRPr="00835E39" w:rsidRDefault="00835E39">
            <w:pPr>
              <w:rPr>
                <w:b/>
                <w:sz w:val="28"/>
                <w:szCs w:val="28"/>
              </w:rPr>
            </w:pPr>
            <w:r w:rsidRPr="00835E39">
              <w:rPr>
                <w:b/>
                <w:sz w:val="28"/>
                <w:szCs w:val="28"/>
              </w:rPr>
              <w:t>Clinic Tutor</w:t>
            </w:r>
          </w:p>
        </w:tc>
      </w:tr>
      <w:tr w:rsidR="00835E39" w:rsidTr="00835E39">
        <w:tc>
          <w:tcPr>
            <w:tcW w:w="4621" w:type="dxa"/>
          </w:tcPr>
          <w:p w:rsidR="00835E39" w:rsidRPr="00835E39" w:rsidRDefault="00835E39">
            <w:pPr>
              <w:rPr>
                <w:b/>
                <w:sz w:val="28"/>
                <w:szCs w:val="28"/>
              </w:rPr>
            </w:pPr>
            <w:r w:rsidRPr="00835E39">
              <w:rPr>
                <w:b/>
                <w:sz w:val="28"/>
                <w:szCs w:val="28"/>
              </w:rPr>
              <w:t>Responsible to</w:t>
            </w:r>
          </w:p>
        </w:tc>
        <w:tc>
          <w:tcPr>
            <w:tcW w:w="4621" w:type="dxa"/>
          </w:tcPr>
          <w:p w:rsidR="00835E39" w:rsidRPr="00835E39" w:rsidRDefault="00835E39">
            <w:pPr>
              <w:rPr>
                <w:b/>
                <w:sz w:val="28"/>
                <w:szCs w:val="28"/>
              </w:rPr>
            </w:pPr>
            <w:r w:rsidRPr="00835E39">
              <w:rPr>
                <w:b/>
                <w:sz w:val="28"/>
                <w:szCs w:val="28"/>
              </w:rPr>
              <w:t>Head of Clinic</w:t>
            </w:r>
          </w:p>
        </w:tc>
      </w:tr>
      <w:tr w:rsidR="00835E39" w:rsidTr="00835E39">
        <w:tc>
          <w:tcPr>
            <w:tcW w:w="4621" w:type="dxa"/>
          </w:tcPr>
          <w:p w:rsidR="00835E39" w:rsidRPr="00835E39" w:rsidRDefault="00835E39">
            <w:pPr>
              <w:rPr>
                <w:b/>
                <w:sz w:val="28"/>
                <w:szCs w:val="28"/>
              </w:rPr>
            </w:pPr>
            <w:r w:rsidRPr="00835E39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4621" w:type="dxa"/>
          </w:tcPr>
          <w:p w:rsidR="00835E39" w:rsidRPr="00835E39" w:rsidRDefault="00835E39">
            <w:pPr>
              <w:rPr>
                <w:b/>
                <w:sz w:val="28"/>
                <w:szCs w:val="28"/>
              </w:rPr>
            </w:pPr>
            <w:r w:rsidRPr="00835E39">
              <w:rPr>
                <w:b/>
                <w:sz w:val="28"/>
                <w:szCs w:val="28"/>
              </w:rPr>
              <w:t>E1-E2</w:t>
            </w:r>
          </w:p>
        </w:tc>
      </w:tr>
      <w:tr w:rsidR="00835E39" w:rsidTr="00835E39">
        <w:tc>
          <w:tcPr>
            <w:tcW w:w="4621" w:type="dxa"/>
          </w:tcPr>
          <w:p w:rsidR="00835E39" w:rsidRPr="00835E39" w:rsidRDefault="00835E39">
            <w:pPr>
              <w:rPr>
                <w:b/>
                <w:sz w:val="28"/>
                <w:szCs w:val="28"/>
              </w:rPr>
            </w:pPr>
            <w:r w:rsidRPr="00835E39">
              <w:rPr>
                <w:b/>
                <w:sz w:val="28"/>
                <w:szCs w:val="28"/>
              </w:rPr>
              <w:t>Name of Employee</w:t>
            </w:r>
          </w:p>
        </w:tc>
        <w:tc>
          <w:tcPr>
            <w:tcW w:w="4621" w:type="dxa"/>
          </w:tcPr>
          <w:p w:rsidR="00835E39" w:rsidRPr="00835E39" w:rsidRDefault="00835E39">
            <w:pPr>
              <w:rPr>
                <w:sz w:val="28"/>
                <w:szCs w:val="28"/>
              </w:rPr>
            </w:pPr>
          </w:p>
        </w:tc>
      </w:tr>
    </w:tbl>
    <w:p w:rsidR="003A3173" w:rsidRDefault="003A3173"/>
    <w:p w:rsidR="009C3860" w:rsidRDefault="00E234B8">
      <w:pPr>
        <w:rPr>
          <w:b/>
          <w:sz w:val="24"/>
          <w:szCs w:val="24"/>
        </w:rPr>
      </w:pPr>
      <w:r w:rsidRPr="00E234B8">
        <w:rPr>
          <w:b/>
          <w:sz w:val="24"/>
          <w:szCs w:val="24"/>
        </w:rPr>
        <w:t>Clinic Tutors are required to</w:t>
      </w:r>
      <w:r>
        <w:rPr>
          <w:b/>
          <w:sz w:val="24"/>
          <w:szCs w:val="24"/>
        </w:rPr>
        <w:t>:</w:t>
      </w:r>
    </w:p>
    <w:p w:rsidR="00E234B8" w:rsidRPr="00CB6DB2" w:rsidRDefault="00E234B8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 xml:space="preserve">Provide effective clinic based learning opportunities and experiences for student osteopathic practitioners to help them to acquire, develop, consolidate and refine classroom knowledge and clinical experiences in accordance with </w:t>
      </w:r>
      <w:proofErr w:type="spellStart"/>
      <w:r w:rsidRPr="00CB6DB2">
        <w:rPr>
          <w:rFonts w:cs="Aharoni"/>
          <w:sz w:val="24"/>
          <w:szCs w:val="24"/>
        </w:rPr>
        <w:t>GOsC</w:t>
      </w:r>
      <w:proofErr w:type="spellEnd"/>
      <w:r w:rsidRPr="00CB6DB2">
        <w:rPr>
          <w:rFonts w:cs="Aharoni"/>
          <w:sz w:val="24"/>
          <w:szCs w:val="24"/>
        </w:rPr>
        <w:t xml:space="preserve"> requirements.</w:t>
      </w:r>
    </w:p>
    <w:p w:rsidR="00E234B8" w:rsidRPr="00CB6DB2" w:rsidRDefault="00E234B8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To encourage and promote the use of a range of approaches</w:t>
      </w:r>
      <w:r w:rsidR="00642656" w:rsidRPr="00CB6DB2">
        <w:rPr>
          <w:rFonts w:cs="Aharoni"/>
          <w:sz w:val="24"/>
          <w:szCs w:val="24"/>
        </w:rPr>
        <w:t xml:space="preserve"> </w:t>
      </w:r>
      <w:proofErr w:type="gramStart"/>
      <w:r w:rsidR="00642656" w:rsidRPr="00CB6DB2">
        <w:rPr>
          <w:rFonts w:cs="Aharoni"/>
          <w:sz w:val="24"/>
          <w:szCs w:val="24"/>
        </w:rPr>
        <w:t>that reflect</w:t>
      </w:r>
      <w:proofErr w:type="gramEnd"/>
      <w:r w:rsidR="00642656" w:rsidRPr="00CB6DB2">
        <w:rPr>
          <w:rFonts w:cs="Aharoni"/>
          <w:sz w:val="24"/>
          <w:szCs w:val="24"/>
        </w:rPr>
        <w:t xml:space="preserve"> the breadth of the curriculum for the osteopathic care and management of patients.</w:t>
      </w:r>
    </w:p>
    <w:p w:rsidR="00642656" w:rsidRPr="00CB6DB2" w:rsidRDefault="00642656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Encourage and promote reflective practice as an integral part of practice life.</w:t>
      </w:r>
    </w:p>
    <w:p w:rsidR="00642656" w:rsidRPr="00CB6DB2" w:rsidRDefault="00642656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Ensure that students record their clinical findings, actions and other data in a coherent, comprehensive and accessible means using the relevant and acceptable notations.</w:t>
      </w:r>
    </w:p>
    <w:p w:rsidR="00642656" w:rsidRPr="00CB6DB2" w:rsidRDefault="00642656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 xml:space="preserve">Challenge students about their proposed clinical actions based on their clinical reasoning skills. </w:t>
      </w:r>
    </w:p>
    <w:p w:rsidR="00642656" w:rsidRPr="00CB6DB2" w:rsidRDefault="00642656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Supervise and guide students in the preparation of letters</w:t>
      </w:r>
      <w:r w:rsidR="001834C7" w:rsidRPr="00CB6DB2">
        <w:rPr>
          <w:rFonts w:cs="Aharoni"/>
          <w:sz w:val="24"/>
          <w:szCs w:val="24"/>
        </w:rPr>
        <w:t xml:space="preserve">, where required, to health care practitioners including medical doctors and complementary health </w:t>
      </w:r>
      <w:proofErr w:type="spellStart"/>
      <w:r w:rsidR="001834C7" w:rsidRPr="00CB6DB2">
        <w:rPr>
          <w:rFonts w:cs="Aharoni"/>
          <w:sz w:val="24"/>
          <w:szCs w:val="24"/>
        </w:rPr>
        <w:t>practioners</w:t>
      </w:r>
      <w:proofErr w:type="spellEnd"/>
    </w:p>
    <w:p w:rsidR="001834C7" w:rsidRPr="00CB6DB2" w:rsidRDefault="001834C7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Act as a role model to students promoting ethical, reflective, efficient and effective osteopathic practice at all times.</w:t>
      </w:r>
    </w:p>
    <w:p w:rsidR="001834C7" w:rsidRPr="00CB6DB2" w:rsidRDefault="001834C7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Monitor and supervise each patient encounter to ensure maximum benefit and safety to all patients and students under your supervision.</w:t>
      </w:r>
    </w:p>
    <w:p w:rsidR="001834C7" w:rsidRPr="00CB6DB2" w:rsidRDefault="001834C7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 xml:space="preserve">Actively participate in all aspects of the student clinical assessment programme </w:t>
      </w:r>
      <w:proofErr w:type="spellStart"/>
      <w:r w:rsidRPr="00CB6DB2">
        <w:rPr>
          <w:rFonts w:cs="Aharoni"/>
          <w:sz w:val="24"/>
          <w:szCs w:val="24"/>
        </w:rPr>
        <w:t>i</w:t>
      </w:r>
      <w:r w:rsidR="009A69B3" w:rsidRPr="00CB6DB2">
        <w:rPr>
          <w:rFonts w:cs="Aharoni"/>
          <w:sz w:val="24"/>
          <w:szCs w:val="24"/>
        </w:rPr>
        <w:t>.e</w:t>
      </w:r>
      <w:proofErr w:type="spellEnd"/>
      <w:r w:rsidR="009A69B3" w:rsidRPr="00CB6DB2">
        <w:rPr>
          <w:rFonts w:cs="Aharoni"/>
          <w:sz w:val="24"/>
          <w:szCs w:val="24"/>
        </w:rPr>
        <w:t xml:space="preserve"> prompt and efficient in CA6 forms for all students in your team.</w:t>
      </w:r>
    </w:p>
    <w:p w:rsidR="009A69B3" w:rsidRPr="00CB6DB2" w:rsidRDefault="009A69B3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Prepare students for exams and assessments by challenging and supporting them and offering timely feedback.</w:t>
      </w:r>
    </w:p>
    <w:p w:rsidR="009A69B3" w:rsidRPr="00370D7A" w:rsidRDefault="009A69B3" w:rsidP="00370D7A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 w:rsidRPr="00370D7A">
        <w:rPr>
          <w:rFonts w:cs="Aharoni"/>
          <w:sz w:val="24"/>
          <w:szCs w:val="24"/>
        </w:rPr>
        <w:t>Keep up to date with developments in the curriculum by regularly accessing the E-syllabus.</w:t>
      </w:r>
    </w:p>
    <w:p w:rsidR="009A69B3" w:rsidRPr="00CB6DB2" w:rsidRDefault="009A69B3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Observe health and safety requirements within the clinic e.g. Fire evacuation procedure.</w:t>
      </w:r>
    </w:p>
    <w:p w:rsidR="009A69B3" w:rsidRPr="00CB6DB2" w:rsidRDefault="009A69B3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lastRenderedPageBreak/>
        <w:t xml:space="preserve">To abide by the </w:t>
      </w:r>
      <w:r w:rsidR="003D711C" w:rsidRPr="00CB6DB2">
        <w:rPr>
          <w:rFonts w:cs="Aharoni"/>
          <w:sz w:val="24"/>
          <w:szCs w:val="24"/>
        </w:rPr>
        <w:t>conditions of confidentiality concerning the disclosure of patient, staff and student data and details.</w:t>
      </w:r>
      <w:r w:rsidRPr="00CB6DB2">
        <w:rPr>
          <w:rFonts w:cs="Aharoni"/>
          <w:sz w:val="24"/>
          <w:szCs w:val="24"/>
        </w:rPr>
        <w:t xml:space="preserve"> </w:t>
      </w:r>
    </w:p>
    <w:p w:rsidR="001259BC" w:rsidRPr="00CB6DB2" w:rsidRDefault="001259BC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Participate in peer review, appraisal and relevant training and development activities.</w:t>
      </w:r>
    </w:p>
    <w:p w:rsidR="001259BC" w:rsidRPr="00CB6DB2" w:rsidRDefault="001259BC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Participate in relevant meetings including faculty meetings.</w:t>
      </w:r>
    </w:p>
    <w:p w:rsidR="001259BC" w:rsidRPr="00CB6DB2" w:rsidRDefault="00CB6DB2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Be prepared to cover for colleagues (when reasonable to do so) in cases of unplanned absence and offer temporary supervision to students.</w:t>
      </w:r>
    </w:p>
    <w:p w:rsidR="00CB6DB2" w:rsidRPr="00CB6DB2" w:rsidRDefault="00CB6DB2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 xml:space="preserve">Be registered with </w:t>
      </w:r>
      <w:proofErr w:type="spellStart"/>
      <w:r w:rsidRPr="00CB6DB2">
        <w:rPr>
          <w:rFonts w:cs="Aharoni"/>
          <w:sz w:val="24"/>
          <w:szCs w:val="24"/>
        </w:rPr>
        <w:t>GOsC</w:t>
      </w:r>
      <w:proofErr w:type="spellEnd"/>
      <w:r w:rsidRPr="00CB6DB2">
        <w:rPr>
          <w:rFonts w:cs="Aharoni"/>
          <w:sz w:val="24"/>
          <w:szCs w:val="24"/>
        </w:rPr>
        <w:t>.</w:t>
      </w:r>
    </w:p>
    <w:p w:rsidR="00CB6DB2" w:rsidRPr="00CB6DB2" w:rsidRDefault="00CB6DB2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Ensure an atmosphere is maintained in the clinic that is conducive to learning.</w:t>
      </w:r>
    </w:p>
    <w:p w:rsidR="00CB6DB2" w:rsidRPr="00CB6DB2" w:rsidRDefault="00CB6DB2" w:rsidP="00CB6DB2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 w:rsidRPr="00CB6DB2">
        <w:rPr>
          <w:rFonts w:cs="Aharoni"/>
          <w:sz w:val="24"/>
          <w:szCs w:val="24"/>
        </w:rPr>
        <w:t>Liaise closely with the head of clinic in the development of Clinical Education.</w:t>
      </w:r>
    </w:p>
    <w:p w:rsidR="00370D7A" w:rsidRDefault="001259B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  <w:proofErr w:type="gramStart"/>
      <w:r w:rsidR="00CB6DB2">
        <w:rPr>
          <w:rFonts w:cs="Aharoni"/>
          <w:sz w:val="24"/>
          <w:szCs w:val="24"/>
        </w:rPr>
        <w:t>Anything else that may be reasonably required to assist in the running of the business, consistent with the role of a Clinic Tutor</w:t>
      </w:r>
      <w:r w:rsidR="00370D7A">
        <w:rPr>
          <w:rFonts w:cs="Aharoni"/>
          <w:sz w:val="24"/>
          <w:szCs w:val="24"/>
        </w:rPr>
        <w:t>.</w:t>
      </w:r>
      <w:proofErr w:type="gramEnd"/>
    </w:p>
    <w:p w:rsidR="00370D7A" w:rsidRPr="00370D7A" w:rsidRDefault="00370D7A">
      <w:pPr>
        <w:rPr>
          <w:rFonts w:cs="Aharoni"/>
          <w:b/>
          <w:sz w:val="24"/>
          <w:szCs w:val="24"/>
        </w:rPr>
      </w:pPr>
      <w:r w:rsidRPr="00370D7A">
        <w:rPr>
          <w:rFonts w:cs="Aharoni"/>
          <w:b/>
          <w:sz w:val="24"/>
          <w:szCs w:val="24"/>
        </w:rPr>
        <w:t>GRADE E2</w:t>
      </w:r>
    </w:p>
    <w:p w:rsidR="001259BC" w:rsidRDefault="00CB6DB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</w:t>
      </w:r>
      <w:r w:rsidR="00370D7A">
        <w:rPr>
          <w:rFonts w:cs="Aharoni"/>
          <w:sz w:val="24"/>
          <w:szCs w:val="24"/>
        </w:rPr>
        <w:t>A Clinic Tutor at grade E2 will meet one or more of the following criteria:</w:t>
      </w:r>
    </w:p>
    <w:p w:rsidR="00370D7A" w:rsidRDefault="00370D7A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Have </w:t>
      </w:r>
      <w:bookmarkStart w:id="0" w:name="_GoBack"/>
      <w:bookmarkEnd w:id="0"/>
      <w:r>
        <w:rPr>
          <w:rFonts w:cs="Aharoni"/>
          <w:sz w:val="24"/>
          <w:szCs w:val="24"/>
        </w:rPr>
        <w:t>relevant teaching experience.</w:t>
      </w:r>
    </w:p>
    <w:p w:rsidR="00370D7A" w:rsidRDefault="00370D7A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Have a teaching qualification or relevant post-grad qualification.</w:t>
      </w:r>
    </w:p>
    <w:sectPr w:rsidR="00370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9E9"/>
    <w:multiLevelType w:val="hybridMultilevel"/>
    <w:tmpl w:val="D8DC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0305C"/>
    <w:multiLevelType w:val="hybridMultilevel"/>
    <w:tmpl w:val="DAEC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39"/>
    <w:rsid w:val="001259BC"/>
    <w:rsid w:val="001834C7"/>
    <w:rsid w:val="00370D7A"/>
    <w:rsid w:val="003A3173"/>
    <w:rsid w:val="003D711C"/>
    <w:rsid w:val="005E36A8"/>
    <w:rsid w:val="00642656"/>
    <w:rsid w:val="00835E39"/>
    <w:rsid w:val="009A69B3"/>
    <w:rsid w:val="009C3860"/>
    <w:rsid w:val="00CB6DB2"/>
    <w:rsid w:val="00E234B8"/>
    <w:rsid w:val="00E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Cherryle Cunningham</dc:creator>
  <cp:lastModifiedBy>Cherryle Cunningham</cp:lastModifiedBy>
  <cp:revision>5</cp:revision>
  <dcterms:created xsi:type="dcterms:W3CDTF">2018-02-22T13:48:00Z</dcterms:created>
  <dcterms:modified xsi:type="dcterms:W3CDTF">2018-07-09T14:23:00Z</dcterms:modified>
</cp:coreProperties>
</file>